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A2574" w14:textId="4B22DBE6" w:rsidR="0012764B" w:rsidRPr="0012764B" w:rsidRDefault="0012764B" w:rsidP="0012764B">
      <w:pPr>
        <w:spacing w:after="0" w:line="240" w:lineRule="auto"/>
        <w:jc w:val="center"/>
        <w:rPr>
          <w:rFonts w:ascii="Times New Roman" w:hAnsi="Times New Roman" w:cs="Times New Roman"/>
          <w:b/>
          <w:bCs/>
          <w:sz w:val="28"/>
          <w:szCs w:val="28"/>
          <w:lang w:eastAsia="es-DO"/>
        </w:rPr>
      </w:pPr>
      <w:r>
        <w:rPr>
          <w:rFonts w:ascii="Times New Roman" w:hAnsi="Times New Roman" w:cs="Times New Roman"/>
          <w:b/>
          <w:bCs/>
          <w:sz w:val="28"/>
          <w:szCs w:val="28"/>
          <w:lang w:eastAsia="es-DO"/>
        </w:rPr>
        <w:t>R</w:t>
      </w:r>
      <w:r w:rsidRPr="0012764B">
        <w:rPr>
          <w:rFonts w:ascii="Times New Roman" w:hAnsi="Times New Roman" w:cs="Times New Roman"/>
          <w:b/>
          <w:bCs/>
          <w:sz w:val="28"/>
          <w:szCs w:val="28"/>
          <w:lang w:eastAsia="es-DO"/>
        </w:rPr>
        <w:t>espaldo recibido por el PLD consolida su proceso de fortalecimiento</w:t>
      </w:r>
    </w:p>
    <w:p w14:paraId="570E42A8" w14:textId="77777777" w:rsidR="0012764B" w:rsidRPr="0012764B" w:rsidRDefault="0012764B" w:rsidP="0012764B">
      <w:pPr>
        <w:spacing w:after="0" w:line="240" w:lineRule="auto"/>
        <w:jc w:val="center"/>
        <w:rPr>
          <w:rFonts w:ascii="Times New Roman" w:hAnsi="Times New Roman" w:cs="Times New Roman"/>
          <w:b/>
          <w:bCs/>
          <w:sz w:val="28"/>
          <w:szCs w:val="28"/>
          <w:lang w:eastAsia="es-DO"/>
        </w:rPr>
      </w:pPr>
    </w:p>
    <w:p w14:paraId="3E6EDE6C" w14:textId="11793E76" w:rsidR="0012764B" w:rsidRPr="0012764B" w:rsidRDefault="0012764B" w:rsidP="0012764B">
      <w:pPr>
        <w:spacing w:after="0" w:line="240" w:lineRule="auto"/>
        <w:jc w:val="center"/>
        <w:rPr>
          <w:rFonts w:ascii="Times New Roman" w:hAnsi="Times New Roman" w:cs="Times New Roman"/>
          <w:b/>
          <w:bCs/>
          <w:sz w:val="28"/>
          <w:szCs w:val="28"/>
          <w:lang w:eastAsia="es-DO"/>
        </w:rPr>
      </w:pPr>
      <w:r w:rsidRPr="0012764B">
        <w:rPr>
          <w:rFonts w:ascii="Times New Roman" w:hAnsi="Times New Roman" w:cs="Times New Roman"/>
          <w:b/>
          <w:bCs/>
          <w:sz w:val="28"/>
          <w:szCs w:val="28"/>
          <w:lang w:eastAsia="es-DO"/>
        </w:rPr>
        <w:t>DECLARACIÓN DE PRENSA</w:t>
      </w:r>
    </w:p>
    <w:p w14:paraId="694076D0"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6D7BBA3D" w14:textId="735DE1F9" w:rsidR="0012764B" w:rsidRPr="0012764B" w:rsidRDefault="0012764B" w:rsidP="0012764B">
      <w:pPr>
        <w:spacing w:after="0" w:line="240" w:lineRule="auto"/>
        <w:jc w:val="both"/>
        <w:rPr>
          <w:rFonts w:ascii="Times New Roman" w:hAnsi="Times New Roman" w:cs="Times New Roman"/>
          <w:i/>
          <w:iCs/>
          <w:sz w:val="24"/>
          <w:szCs w:val="24"/>
          <w:lang w:eastAsia="es-DO"/>
        </w:rPr>
      </w:pPr>
      <w:r w:rsidRPr="0012764B">
        <w:rPr>
          <w:rFonts w:ascii="Times New Roman" w:hAnsi="Times New Roman" w:cs="Times New Roman"/>
          <w:i/>
          <w:iCs/>
          <w:sz w:val="24"/>
          <w:szCs w:val="24"/>
          <w:lang w:eastAsia="es-DO"/>
        </w:rPr>
        <w:t>Más de 33 mil dirigentes y militantes participaron en el Segundo Esfuerzo Concentrado Nacional, visitaron 14,842 hogares y registraron 24,567 simpatizantes</w:t>
      </w:r>
      <w:r w:rsidRPr="0012764B">
        <w:rPr>
          <w:rFonts w:ascii="Times New Roman" w:hAnsi="Times New Roman" w:cs="Times New Roman"/>
          <w:i/>
          <w:iCs/>
          <w:sz w:val="24"/>
          <w:szCs w:val="24"/>
          <w:lang w:eastAsia="es-DO"/>
        </w:rPr>
        <w:t>.</w:t>
      </w:r>
    </w:p>
    <w:p w14:paraId="335FC956"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3EA4B3F7" w14:textId="3A73647E"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El Partido de la Liberación Dominicana (PLD) afirmó que el respaldo recibido durante el Segundo Esfuerzo Concentrado Nacional, realizado el sábado 8 de agosto, confirma el fortalecimiento que viene alcanzando la organización como resultado de su proceso de reorganización, renovación y contacto directo con la población.</w:t>
      </w:r>
    </w:p>
    <w:p w14:paraId="573D855D"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4F98E3AB"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Durante la jornada, desarrollada durante unas tres horas en todo el territorio nacional, participaron 33,541 dirigentes, militantes y miembros del PLD, integrados en brigadas que visitaron 14,842 hogares y registraron 24,567 simpatizantes.</w:t>
      </w:r>
    </w:p>
    <w:p w14:paraId="1508C8B8"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37630843" w14:textId="5F0F638C"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“Son cifras importantes, pero más importante aún es lo que representan: un partido que se moviliza, que vuelve a las calles, que escucha a la gente y fortalece su presencia en cada comunidad”, destacó la organización</w:t>
      </w:r>
      <w:r w:rsidR="001B1ED5">
        <w:rPr>
          <w:rFonts w:ascii="Times New Roman" w:hAnsi="Times New Roman" w:cs="Times New Roman"/>
          <w:sz w:val="28"/>
          <w:szCs w:val="28"/>
          <w:lang w:eastAsia="es-DO"/>
        </w:rPr>
        <w:t xml:space="preserve"> en la Rueda de Prensa celebrada hoy en la Casa Nacional Reinaldo Pared Pérez.</w:t>
      </w:r>
    </w:p>
    <w:p w14:paraId="2D6EB1A6"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6D40D6D1" w14:textId="7D6D39ED"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 xml:space="preserve">El PLD </w:t>
      </w:r>
      <w:r w:rsidR="001B1ED5" w:rsidRPr="0012764B">
        <w:rPr>
          <w:rFonts w:ascii="Times New Roman" w:hAnsi="Times New Roman" w:cs="Times New Roman"/>
          <w:sz w:val="28"/>
          <w:szCs w:val="28"/>
          <w:lang w:eastAsia="es-DO"/>
        </w:rPr>
        <w:t>explicó</w:t>
      </w:r>
      <w:r w:rsidR="001B1ED5">
        <w:rPr>
          <w:rFonts w:ascii="Times New Roman" w:hAnsi="Times New Roman" w:cs="Times New Roman"/>
          <w:sz w:val="28"/>
          <w:szCs w:val="28"/>
          <w:lang w:eastAsia="es-DO"/>
        </w:rPr>
        <w:t xml:space="preserve"> </w:t>
      </w:r>
      <w:r w:rsidR="001B1ED5" w:rsidRPr="0012764B">
        <w:rPr>
          <w:rFonts w:ascii="Times New Roman" w:hAnsi="Times New Roman" w:cs="Times New Roman"/>
          <w:sz w:val="28"/>
          <w:szCs w:val="28"/>
          <w:lang w:eastAsia="es-DO"/>
        </w:rPr>
        <w:t>que</w:t>
      </w:r>
      <w:r w:rsidRPr="0012764B">
        <w:rPr>
          <w:rFonts w:ascii="Times New Roman" w:hAnsi="Times New Roman" w:cs="Times New Roman"/>
          <w:sz w:val="28"/>
          <w:szCs w:val="28"/>
          <w:lang w:eastAsia="es-DO"/>
        </w:rPr>
        <w:t xml:space="preserve"> el Esfuerzo Concentrado constituye un método histórico de trabajo partidario mediante el cual sus organismos conforman brigadas y comisiones para visitar hogares, conversar con transeúntes y ciudadanos y llevar directamente su mensaje a las comunidades.</w:t>
      </w:r>
    </w:p>
    <w:p w14:paraId="02750516"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5BD38F77"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Según el balance presentado por la organización, durante los recorridos los dirigentes encontraron un reclamo generalizado de la población por los altos precios de los alimentos, los apagones, el incremento de las facturas eléctricas, la inseguridad, los actos de corrupción y el deterioro de los servicios públicos.</w:t>
      </w:r>
    </w:p>
    <w:p w14:paraId="5DA519E7"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5E33A55D"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“Cada hogar visitado significa un contacto recuperado. Cada simpatizante registrado representa una persona con la que tenemos que continuar trabajando, y cada compañero movilizado expresa la voluntad de una organización que ha decidido ponerse nuevamente en movimiento”, señala el informe sobre la jornada.</w:t>
      </w:r>
    </w:p>
    <w:p w14:paraId="1CB9AB84"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7E5BD884"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 xml:space="preserve">El PLD indicó que este segundo esfuerzo forma parte de una estrategia más amplia vinculada con la implementación de la nueva Línea Organizativa y </w:t>
      </w:r>
      <w:r w:rsidRPr="0012764B">
        <w:rPr>
          <w:rFonts w:ascii="Times New Roman" w:hAnsi="Times New Roman" w:cs="Times New Roman"/>
          <w:sz w:val="28"/>
          <w:szCs w:val="28"/>
          <w:lang w:eastAsia="es-DO"/>
        </w:rPr>
        <w:lastRenderedPageBreak/>
        <w:t>Electoral, aprobada por el X Congreso Ordinario Reinaldo Pared Pérez, con miras a fortalecer sus estructuras y ampliar su base política y electoral.</w:t>
      </w:r>
    </w:p>
    <w:p w14:paraId="7FBC0DE9"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248E4A33"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La organización manifestó que trabaja desde ahora en la construcción de las condiciones necesarias para alcanzar su objetivo de ganar las elecciones de 2028 y retornar al Gobierno, afirmando que para lograrlo necesita organización, disciplina, unidad y contacto permanente con la sociedad.</w:t>
      </w:r>
    </w:p>
    <w:p w14:paraId="6D201BAD"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01C13EF4"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“No podemos esperar al 2028 para comenzar a trabajar. El 2028 se comienza a ganar desde ahora”.</w:t>
      </w:r>
    </w:p>
    <w:p w14:paraId="433236C0"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6D98C17F"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El PLD anunció que continuará desarrollando jornadas de contacto directo, fortaleciendo sus organismos, ampliando su base de simpatizantes y aumentando su presencia en las comunidades.</w:t>
      </w:r>
    </w:p>
    <w:p w14:paraId="44F5BDBA"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18442173"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Asimismo, reconoció y agradeció a los 33,541 compañeros y compañeras que participaron directamente en la actividad, así como a las comisiones encargadas de su organización y apoyo operativo.</w:t>
      </w:r>
    </w:p>
    <w:p w14:paraId="17C9F3FA"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08C3EA02"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De manera especial, valoró el esfuerzo de dirigentes, militantes, miembros y simpatizantes que hicieron posible la jornada, señalando que los resultados alcanzados constituyen un estímulo para continuar desarrollando este tipo de acciones junto a las demás tareas de reorganización partidaria y defensa de las demandas de la población.</w:t>
      </w:r>
    </w:p>
    <w:p w14:paraId="0202BC98"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5EF50F2A" w14:textId="77777777" w:rsidR="0012764B" w:rsidRDefault="0012764B" w:rsidP="0012764B">
      <w:pPr>
        <w:spacing w:after="0" w:line="240" w:lineRule="auto"/>
        <w:jc w:val="both"/>
        <w:rPr>
          <w:rFonts w:ascii="Times New Roman" w:hAnsi="Times New Roman" w:cs="Times New Roman"/>
          <w:sz w:val="28"/>
          <w:szCs w:val="28"/>
          <w:lang w:eastAsia="es-DO"/>
        </w:rPr>
      </w:pPr>
      <w:r w:rsidRPr="0012764B">
        <w:rPr>
          <w:rFonts w:ascii="Times New Roman" w:hAnsi="Times New Roman" w:cs="Times New Roman"/>
          <w:sz w:val="28"/>
          <w:szCs w:val="28"/>
          <w:lang w:eastAsia="es-DO"/>
        </w:rPr>
        <w:t>“El Segundo Esfuerzo Concentrado Nacional nos deja un mensaje claro: el PLD está de pie, está trabajando y está construyendo las bases para volver a ganar”, concluyó la organización, reiterando la expresión que asegura haber recibido en sus recorridos: “Con el PLD se vivía mejor”.</w:t>
      </w:r>
    </w:p>
    <w:p w14:paraId="73F0D059" w14:textId="77777777" w:rsidR="0012764B" w:rsidRPr="0012764B" w:rsidRDefault="0012764B" w:rsidP="0012764B">
      <w:pPr>
        <w:spacing w:after="0" w:line="240" w:lineRule="auto"/>
        <w:jc w:val="both"/>
        <w:rPr>
          <w:rFonts w:ascii="Times New Roman" w:hAnsi="Times New Roman" w:cs="Times New Roman"/>
          <w:sz w:val="28"/>
          <w:szCs w:val="28"/>
          <w:lang w:eastAsia="es-DO"/>
        </w:rPr>
      </w:pPr>
    </w:p>
    <w:p w14:paraId="7A53A030" w14:textId="547BB42D" w:rsidR="0012764B" w:rsidRPr="0012764B" w:rsidRDefault="0012764B" w:rsidP="0012764B">
      <w:pPr>
        <w:spacing w:after="0" w:line="240" w:lineRule="auto"/>
        <w:rPr>
          <w:rFonts w:ascii="Times New Roman" w:hAnsi="Times New Roman" w:cs="Times New Roman"/>
          <w:b/>
          <w:bCs/>
          <w:sz w:val="28"/>
          <w:szCs w:val="28"/>
          <w:lang w:eastAsia="es-DO"/>
        </w:rPr>
      </w:pPr>
      <w:r w:rsidRPr="0012764B">
        <w:rPr>
          <w:rFonts w:ascii="Times New Roman" w:hAnsi="Times New Roman" w:cs="Times New Roman"/>
          <w:b/>
          <w:bCs/>
          <w:sz w:val="28"/>
          <w:szCs w:val="28"/>
          <w:lang w:eastAsia="es-DO"/>
        </w:rPr>
        <w:t>SECRETARÍA DE COMUNICACIONES</w:t>
      </w:r>
      <w:r w:rsidRPr="0012764B">
        <w:rPr>
          <w:rFonts w:ascii="Times New Roman" w:hAnsi="Times New Roman" w:cs="Times New Roman"/>
          <w:b/>
          <w:bCs/>
          <w:sz w:val="28"/>
          <w:szCs w:val="28"/>
          <w:lang w:eastAsia="es-DO"/>
        </w:rPr>
        <w:br/>
      </w:r>
      <w:r w:rsidRPr="0012764B">
        <w:rPr>
          <w:rFonts w:ascii="Times New Roman" w:hAnsi="Times New Roman" w:cs="Times New Roman"/>
          <w:b/>
          <w:bCs/>
          <w:sz w:val="28"/>
          <w:szCs w:val="28"/>
          <w:lang w:eastAsia="es-DO"/>
        </w:rPr>
        <w:t>12 DE AGOSTO DE 2026</w:t>
      </w:r>
    </w:p>
    <w:p w14:paraId="4680D8BE" w14:textId="77777777" w:rsidR="00332BDD" w:rsidRDefault="00332BDD" w:rsidP="0012764B">
      <w:pPr>
        <w:spacing w:after="0" w:line="240" w:lineRule="auto"/>
        <w:jc w:val="both"/>
        <w:rPr>
          <w:rFonts w:ascii="Times New Roman" w:hAnsi="Times New Roman" w:cs="Times New Roman"/>
          <w:sz w:val="28"/>
          <w:szCs w:val="28"/>
        </w:rPr>
      </w:pPr>
    </w:p>
    <w:p w14:paraId="5133732D" w14:textId="77777777" w:rsidR="0012764B" w:rsidRDefault="0012764B" w:rsidP="0012764B">
      <w:pPr>
        <w:spacing w:after="0" w:line="240" w:lineRule="auto"/>
        <w:jc w:val="both"/>
        <w:rPr>
          <w:rFonts w:ascii="Times New Roman" w:hAnsi="Times New Roman" w:cs="Times New Roman"/>
          <w:sz w:val="28"/>
          <w:szCs w:val="28"/>
        </w:rPr>
      </w:pPr>
    </w:p>
    <w:p w14:paraId="62D25455" w14:textId="45714032" w:rsidR="0012764B" w:rsidRPr="0012764B" w:rsidRDefault="0012764B" w:rsidP="0012764B">
      <w:pPr>
        <w:spacing w:after="0" w:line="240" w:lineRule="auto"/>
        <w:jc w:val="both"/>
        <w:rPr>
          <w:rFonts w:ascii="Times New Roman" w:hAnsi="Times New Roman" w:cs="Times New Roman"/>
          <w:sz w:val="28"/>
          <w:szCs w:val="28"/>
        </w:rPr>
      </w:pPr>
      <w:r w:rsidRPr="0012764B">
        <w:rPr>
          <w:rFonts w:ascii="Times New Roman" w:hAnsi="Times New Roman" w:cs="Times New Roman"/>
          <w:b/>
          <w:bCs/>
          <w:sz w:val="28"/>
          <w:szCs w:val="28"/>
        </w:rPr>
        <w:t>ANEXO:</w:t>
      </w:r>
      <w:r>
        <w:rPr>
          <w:rFonts w:ascii="Times New Roman" w:hAnsi="Times New Roman" w:cs="Times New Roman"/>
          <w:sz w:val="28"/>
          <w:szCs w:val="28"/>
        </w:rPr>
        <w:t xml:space="preserve"> Documento leído en la Rueda de Prensa</w:t>
      </w:r>
    </w:p>
    <w:sectPr w:rsidR="0012764B" w:rsidRPr="0012764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4B"/>
    <w:rsid w:val="0012764B"/>
    <w:rsid w:val="001B1ED5"/>
    <w:rsid w:val="00332BDD"/>
    <w:rsid w:val="0041200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6294B"/>
  <w15:chartTrackingRefBased/>
  <w15:docId w15:val="{C0BE94EA-7698-4197-B280-4554EEEF0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276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276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2764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2764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2764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276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76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76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76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764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2764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2764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2764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2764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276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76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76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764B"/>
    <w:rPr>
      <w:rFonts w:eastAsiaTheme="majorEastAsia" w:cstheme="majorBidi"/>
      <w:color w:val="272727" w:themeColor="text1" w:themeTint="D8"/>
    </w:rPr>
  </w:style>
  <w:style w:type="paragraph" w:styleId="Ttulo">
    <w:name w:val="Title"/>
    <w:basedOn w:val="Normal"/>
    <w:next w:val="Normal"/>
    <w:link w:val="TtuloCar"/>
    <w:uiPriority w:val="10"/>
    <w:qFormat/>
    <w:rsid w:val="001276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276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76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76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764B"/>
    <w:pPr>
      <w:spacing w:before="160"/>
      <w:jc w:val="center"/>
    </w:pPr>
    <w:rPr>
      <w:i/>
      <w:iCs/>
      <w:color w:val="404040" w:themeColor="text1" w:themeTint="BF"/>
    </w:rPr>
  </w:style>
  <w:style w:type="character" w:customStyle="1" w:styleId="CitaCar">
    <w:name w:val="Cita Car"/>
    <w:basedOn w:val="Fuentedeprrafopredeter"/>
    <w:link w:val="Cita"/>
    <w:uiPriority w:val="29"/>
    <w:rsid w:val="0012764B"/>
    <w:rPr>
      <w:i/>
      <w:iCs/>
      <w:color w:val="404040" w:themeColor="text1" w:themeTint="BF"/>
    </w:rPr>
  </w:style>
  <w:style w:type="paragraph" w:styleId="Prrafodelista">
    <w:name w:val="List Paragraph"/>
    <w:basedOn w:val="Normal"/>
    <w:uiPriority w:val="34"/>
    <w:qFormat/>
    <w:rsid w:val="0012764B"/>
    <w:pPr>
      <w:ind w:left="720"/>
      <w:contextualSpacing/>
    </w:pPr>
  </w:style>
  <w:style w:type="character" w:styleId="nfasisintenso">
    <w:name w:val="Intense Emphasis"/>
    <w:basedOn w:val="Fuentedeprrafopredeter"/>
    <w:uiPriority w:val="21"/>
    <w:qFormat/>
    <w:rsid w:val="0012764B"/>
    <w:rPr>
      <w:i/>
      <w:iCs/>
      <w:color w:val="0F4761" w:themeColor="accent1" w:themeShade="BF"/>
    </w:rPr>
  </w:style>
  <w:style w:type="paragraph" w:styleId="Citadestacada">
    <w:name w:val="Intense Quote"/>
    <w:basedOn w:val="Normal"/>
    <w:next w:val="Normal"/>
    <w:link w:val="CitadestacadaCar"/>
    <w:uiPriority w:val="30"/>
    <w:qFormat/>
    <w:rsid w:val="001276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2764B"/>
    <w:rPr>
      <w:i/>
      <w:iCs/>
      <w:color w:val="0F4761" w:themeColor="accent1" w:themeShade="BF"/>
    </w:rPr>
  </w:style>
  <w:style w:type="character" w:styleId="Referenciaintensa">
    <w:name w:val="Intense Reference"/>
    <w:basedOn w:val="Fuentedeprrafopredeter"/>
    <w:uiPriority w:val="32"/>
    <w:qFormat/>
    <w:rsid w:val="001276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582</Words>
  <Characters>3207</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Y ELISABETH</dc:creator>
  <cp:keywords/>
  <dc:description/>
  <cp:lastModifiedBy>CARMEN Y ELISABETH</cp:lastModifiedBy>
  <cp:revision>2</cp:revision>
  <dcterms:created xsi:type="dcterms:W3CDTF">2026-08-12T14:28:00Z</dcterms:created>
  <dcterms:modified xsi:type="dcterms:W3CDTF">2026-08-12T14:48:00Z</dcterms:modified>
</cp:coreProperties>
</file>